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6E7B" w:rsidRPr="00236E7B" w:rsidRDefault="00236E7B" w:rsidP="00236E7B">
      <w:pPr>
        <w:jc w:val="center"/>
        <w:rPr>
          <w:sz w:val="44"/>
          <w:szCs w:val="44"/>
        </w:rPr>
      </w:pPr>
      <w:bookmarkStart w:id="0" w:name="_Toc421676366"/>
      <w:bookmarkStart w:id="1" w:name="_Toc428697355"/>
      <w:bookmarkStart w:id="2" w:name="_Toc513552996"/>
      <w:bookmarkStart w:id="3" w:name="_Toc121657005"/>
      <w:bookmarkStart w:id="4" w:name="_Toc223932795"/>
      <w:r w:rsidRPr="00236E7B">
        <w:rPr>
          <w:sz w:val="44"/>
          <w:szCs w:val="44"/>
          <w:highlight w:val="yellow"/>
        </w:rPr>
        <w:t>Конспект</w:t>
      </w:r>
    </w:p>
    <w:p w:rsidR="00236E7B" w:rsidRPr="00383336" w:rsidRDefault="00236E7B" w:rsidP="00236E7B">
      <w:pPr>
        <w:pStyle w:val="3"/>
      </w:pPr>
      <w:r w:rsidRPr="00383336">
        <w:t>Система гидроемко</w:t>
      </w:r>
      <w:bookmarkStart w:id="5" w:name="Гидроемкости"/>
      <w:bookmarkEnd w:id="5"/>
      <w:r w:rsidRPr="00383336">
        <w:t>стей</w:t>
      </w:r>
      <w:bookmarkStart w:id="6" w:name="_GoBack"/>
      <w:bookmarkEnd w:id="0"/>
      <w:bookmarkEnd w:id="1"/>
      <w:bookmarkEnd w:id="2"/>
      <w:bookmarkEnd w:id="3"/>
      <w:bookmarkEnd w:id="4"/>
      <w:bookmarkEnd w:id="6"/>
    </w:p>
    <w:p w:rsidR="00236E7B" w:rsidRPr="00383336" w:rsidRDefault="00236E7B" w:rsidP="00236E7B">
      <w:pPr>
        <w:pStyle w:val="4"/>
      </w:pPr>
      <w:bookmarkStart w:id="7" w:name="_Toc421676367"/>
      <w:bookmarkStart w:id="8" w:name="_Toc428697356"/>
      <w:bookmarkStart w:id="9" w:name="_Toc513552997"/>
      <w:bookmarkStart w:id="10" w:name="_Toc121657006"/>
      <w:bookmarkStart w:id="11" w:name="_Toc223932796"/>
      <w:r w:rsidRPr="00383336">
        <w:t>Назначение системы</w:t>
      </w:r>
      <w:bookmarkEnd w:id="7"/>
      <w:bookmarkEnd w:id="8"/>
      <w:bookmarkEnd w:id="9"/>
      <w:bookmarkEnd w:id="10"/>
      <w:bookmarkEnd w:id="11"/>
    </w:p>
    <w:p w:rsidR="00236E7B" w:rsidRPr="00383336" w:rsidRDefault="00236E7B" w:rsidP="00236E7B">
      <w:pPr>
        <w:pStyle w:val="a5"/>
      </w:pPr>
      <w:r w:rsidRPr="00383336">
        <w:t>Система ГЕ относится к “пассивным” устройствам, т.е. которые не требуют для функционирования внешних источников энергии, и предназначена для быстрой (в течени</w:t>
      </w:r>
      <w:proofErr w:type="gramStart"/>
      <w:r w:rsidRPr="00383336">
        <w:t>и</w:t>
      </w:r>
      <w:proofErr w:type="gramEnd"/>
      <w:r w:rsidRPr="00383336">
        <w:t xml:space="preserve"> нескольких десятков секунд после начала аварии) подачи раствора борной кислоты в реактор для охлаждения активной зоны и её залива в авариях с потерей теплоносителя при разрывах трубопроводов первого контура, эквивалентных </w:t>
      </w:r>
      <w:proofErr w:type="spellStart"/>
      <w:r w:rsidRPr="00383336">
        <w:t>Ду</w:t>
      </w:r>
      <w:proofErr w:type="spellEnd"/>
      <w:r w:rsidRPr="00383336">
        <w:t>&gt;32мм.</w:t>
      </w:r>
    </w:p>
    <w:p w:rsidR="00236E7B" w:rsidRPr="00383336" w:rsidRDefault="00236E7B" w:rsidP="00236E7B">
      <w:pPr>
        <w:pStyle w:val="a5"/>
      </w:pPr>
      <w:bookmarkStart w:id="12" w:name="_Toc421676368"/>
      <w:r w:rsidRPr="00383336">
        <w:t>Система является системой безопасности.</w:t>
      </w:r>
    </w:p>
    <w:p w:rsidR="00236E7B" w:rsidRPr="00383336" w:rsidRDefault="00236E7B" w:rsidP="00236E7B">
      <w:pPr>
        <w:pStyle w:val="4"/>
      </w:pPr>
      <w:bookmarkStart w:id="13" w:name="_Toc428697357"/>
      <w:bookmarkStart w:id="14" w:name="_Toc513552998"/>
      <w:bookmarkStart w:id="15" w:name="_Toc121657007"/>
      <w:bookmarkStart w:id="16" w:name="_Toc223932797"/>
      <w:r w:rsidRPr="00383336">
        <w:t>Описание технологической схемы</w:t>
      </w:r>
      <w:bookmarkEnd w:id="12"/>
      <w:bookmarkEnd w:id="13"/>
      <w:bookmarkEnd w:id="14"/>
      <w:bookmarkEnd w:id="15"/>
      <w:bookmarkEnd w:id="16"/>
    </w:p>
    <w:p w:rsidR="00236E7B" w:rsidRPr="00383336" w:rsidRDefault="00236E7B" w:rsidP="00236E7B">
      <w:pPr>
        <w:pStyle w:val="a5"/>
      </w:pPr>
      <w:r w:rsidRPr="00383336">
        <w:t xml:space="preserve">Принципиальная схема систем гидроемкостей, САОЗ ВД, НД и </w:t>
      </w:r>
      <w:proofErr w:type="spellStart"/>
      <w:r w:rsidRPr="00383336">
        <w:t>спринклерной</w:t>
      </w:r>
      <w:proofErr w:type="spellEnd"/>
      <w:r w:rsidRPr="00383336">
        <w:t xml:space="preserve"> системы приведена на Рис. 2.1-1[6].</w:t>
      </w:r>
    </w:p>
    <w:p w:rsidR="00236E7B" w:rsidRPr="00383336" w:rsidRDefault="00236E7B" w:rsidP="00236E7B">
      <w:pPr>
        <w:pStyle w:val="a5"/>
      </w:pPr>
      <w:r w:rsidRPr="00383336">
        <w:t>Структура системы гидроемкостей принята двухканальной и состоит из полностью одинаковых по набору оборудования и полностью независимых одна от другой четырех ветвей</w:t>
      </w:r>
      <w:proofErr w:type="gramStart"/>
      <w:r w:rsidRPr="00383336">
        <w:t xml:space="preserve"> .</w:t>
      </w:r>
      <w:proofErr w:type="gramEnd"/>
    </w:p>
    <w:p w:rsidR="00236E7B" w:rsidRPr="00383336" w:rsidRDefault="00236E7B" w:rsidP="00236E7B">
      <w:pPr>
        <w:pStyle w:val="a5"/>
      </w:pPr>
      <w:r w:rsidRPr="00383336">
        <w:t>Гидроемкости 4</w:t>
      </w:r>
      <w:r w:rsidRPr="00383336">
        <w:rPr>
          <w:lang w:val="en-US"/>
        </w:rPr>
        <w:t>TH</w:t>
      </w:r>
      <w:r w:rsidRPr="00383336">
        <w:t>10(11,12,13)</w:t>
      </w:r>
      <w:r w:rsidRPr="00383336">
        <w:rPr>
          <w:lang w:val="en-US"/>
        </w:rPr>
        <w:t>B</w:t>
      </w:r>
      <w:r w:rsidRPr="00383336">
        <w:t>01 трубопроводами Ду250 подключены к патрубкам реактора, при этом два трубопровода направляют борный раствор под зону и два – на зону, причем каждая из ГЕ соединена с реактором отдельным трубопроводом. Патрубки подвода борной кислоты из ГЕ в местах приварки к корпусу реактора имеют защитные тепловые рубашки, предохраняющие сварные стыки от резкой смены температур при срабатывании САОЗ</w:t>
      </w:r>
      <w:proofErr w:type="gramStart"/>
      <w:r w:rsidRPr="00383336">
        <w:t xml:space="preserve"> .</w:t>
      </w:r>
      <w:proofErr w:type="gramEnd"/>
    </w:p>
    <w:p w:rsidR="00236E7B" w:rsidRPr="00383336" w:rsidRDefault="00236E7B" w:rsidP="00236E7B">
      <w:pPr>
        <w:pStyle w:val="a5"/>
      </w:pPr>
      <w:r w:rsidRPr="00383336">
        <w:t>На каждом из трубопроводов Ду250 соединяющих ГЕ с реактором последовательно установлены два обратных клапана, между которыми находится нормально открытая задвижка 4</w:t>
      </w:r>
      <w:r w:rsidRPr="00383336">
        <w:rPr>
          <w:lang w:val="en-US"/>
        </w:rPr>
        <w:t>TH</w:t>
      </w:r>
      <w:r w:rsidRPr="00383336">
        <w:t>10(11,12,13)</w:t>
      </w:r>
      <w:r w:rsidRPr="00383336">
        <w:rPr>
          <w:lang w:val="en-US"/>
        </w:rPr>
        <w:t>S</w:t>
      </w:r>
      <w:r w:rsidRPr="00383336">
        <w:t xml:space="preserve">02. Для возможности проверки плотности обратных клапанов они снабжены </w:t>
      </w:r>
      <w:proofErr w:type="spellStart"/>
      <w:r w:rsidRPr="00383336">
        <w:t>байпасными</w:t>
      </w:r>
      <w:proofErr w:type="spellEnd"/>
      <w:r w:rsidRPr="00383336">
        <w:t xml:space="preserve"> линиями с двумя последовательно установленными вентилями к дроссельным устройствам. Задвижка с электроприводом предназначена для</w:t>
      </w:r>
      <w:proofErr w:type="gramStart"/>
      <w:r w:rsidRPr="00383336">
        <w:t xml:space="preserve"> :</w:t>
      </w:r>
      <w:proofErr w:type="gramEnd"/>
    </w:p>
    <w:p w:rsidR="00236E7B" w:rsidRPr="00383336" w:rsidRDefault="00236E7B" w:rsidP="00236E7B">
      <w:pPr>
        <w:pStyle w:val="a4"/>
        <w:numPr>
          <w:ilvl w:val="0"/>
          <w:numId w:val="1"/>
        </w:numPr>
        <w:ind w:left="357" w:hanging="357"/>
        <w:rPr>
          <w:rFonts w:ascii="Times New Roman" w:hAnsi="Times New Roman"/>
        </w:rPr>
      </w:pPr>
      <w:r w:rsidRPr="00383336">
        <w:rPr>
          <w:rFonts w:ascii="Times New Roman" w:hAnsi="Times New Roman"/>
        </w:rPr>
        <w:t>отключения ГЕ при осмотре, ревизии или ремонте без опорожнения реактора;</w:t>
      </w:r>
    </w:p>
    <w:p w:rsidR="00236E7B" w:rsidRPr="00383336" w:rsidRDefault="00236E7B" w:rsidP="00236E7B">
      <w:pPr>
        <w:pStyle w:val="a4"/>
        <w:numPr>
          <w:ilvl w:val="0"/>
          <w:numId w:val="1"/>
        </w:numPr>
        <w:ind w:left="357" w:hanging="357"/>
        <w:rPr>
          <w:rFonts w:ascii="Times New Roman" w:hAnsi="Times New Roman"/>
        </w:rPr>
      </w:pPr>
      <w:r w:rsidRPr="00383336">
        <w:rPr>
          <w:rFonts w:ascii="Times New Roman" w:hAnsi="Times New Roman"/>
        </w:rPr>
        <w:t>отключение ГЕ при плановом снижении давления в реакторе;</w:t>
      </w:r>
    </w:p>
    <w:p w:rsidR="00236E7B" w:rsidRPr="00383336" w:rsidRDefault="00236E7B" w:rsidP="00236E7B">
      <w:pPr>
        <w:pStyle w:val="a4"/>
        <w:numPr>
          <w:ilvl w:val="0"/>
          <w:numId w:val="1"/>
        </w:numPr>
        <w:ind w:left="357" w:hanging="357"/>
        <w:rPr>
          <w:rFonts w:ascii="Times New Roman" w:hAnsi="Times New Roman"/>
        </w:rPr>
      </w:pPr>
      <w:r w:rsidRPr="00383336">
        <w:rPr>
          <w:rFonts w:ascii="Times New Roman" w:hAnsi="Times New Roman"/>
        </w:rPr>
        <w:t>отключение ГЕ при нарушении плотности обратных клапанов выше допустимой.</w:t>
      </w:r>
    </w:p>
    <w:p w:rsidR="00236E7B" w:rsidRPr="00383336" w:rsidRDefault="00236E7B" w:rsidP="00236E7B">
      <w:pPr>
        <w:pStyle w:val="a5"/>
      </w:pPr>
      <w:r w:rsidRPr="00383336">
        <w:t xml:space="preserve">ГЕ обвязаны системой трубопроводов для подачи в них борного раствора, азота, для дренирования и сброса азота, КИП и </w:t>
      </w:r>
      <w:proofErr w:type="spellStart"/>
      <w:r w:rsidRPr="00383336">
        <w:t>проботбора</w:t>
      </w:r>
      <w:proofErr w:type="spellEnd"/>
      <w:proofErr w:type="gramStart"/>
      <w:r w:rsidRPr="00383336">
        <w:t xml:space="preserve"> .</w:t>
      </w:r>
      <w:proofErr w:type="gramEnd"/>
    </w:p>
    <w:p w:rsidR="00236E7B" w:rsidRPr="00383336" w:rsidRDefault="00236E7B" w:rsidP="00236E7B">
      <w:proofErr w:type="gramStart"/>
      <w:r w:rsidRPr="00383336">
        <w:t>Для защиты ГЕ от превышения давления на каждой из них установлено по два предохранительных клапана</w:t>
      </w:r>
      <w:proofErr w:type="gramEnd"/>
      <w:r w:rsidRPr="00383336">
        <w:t xml:space="preserve"> </w:t>
      </w:r>
      <w:r w:rsidRPr="00383336">
        <w:rPr>
          <w:spacing w:val="-20"/>
        </w:rPr>
        <w:t>4</w:t>
      </w:r>
      <w:r w:rsidRPr="00383336">
        <w:t>ТР60</w:t>
      </w:r>
      <w:r w:rsidRPr="00383336">
        <w:rPr>
          <w:lang w:val="en-US"/>
        </w:rPr>
        <w:t>S</w:t>
      </w:r>
      <w:r w:rsidRPr="00383336">
        <w:t>15</w:t>
      </w:r>
      <w:r w:rsidRPr="00383336">
        <w:rPr>
          <w:spacing w:val="-20"/>
        </w:rPr>
        <w:t>,</w:t>
      </w:r>
      <w:r w:rsidRPr="00383336">
        <w:rPr>
          <w:spacing w:val="-20"/>
          <w:lang w:val="en-US"/>
        </w:rPr>
        <w:t> </w:t>
      </w:r>
      <w:r w:rsidRPr="00383336">
        <w:rPr>
          <w:spacing w:val="-20"/>
        </w:rPr>
        <w:t>16 (17</w:t>
      </w:r>
      <w:r w:rsidRPr="00383336">
        <w:rPr>
          <w:spacing w:val="-20"/>
          <w:lang w:val="en-US"/>
        </w:rPr>
        <w:t> </w:t>
      </w:r>
      <w:r w:rsidRPr="00383336">
        <w:rPr>
          <w:spacing w:val="-20"/>
          <w:lang w:val="en-US"/>
        </w:rPr>
        <w:sym w:font="Symbol" w:char="F0B8"/>
      </w:r>
      <w:r w:rsidRPr="00383336">
        <w:rPr>
          <w:spacing w:val="-20"/>
          <w:lang w:val="en-US"/>
        </w:rPr>
        <w:t> </w:t>
      </w:r>
      <w:r w:rsidRPr="00383336">
        <w:rPr>
          <w:spacing w:val="-20"/>
        </w:rPr>
        <w:t>22).</w:t>
      </w:r>
      <w:r w:rsidRPr="00383336">
        <w:t>.</w:t>
      </w:r>
    </w:p>
    <w:p w:rsidR="00236E7B" w:rsidRPr="00383336" w:rsidRDefault="00236E7B" w:rsidP="00236E7B">
      <w:pPr>
        <w:pStyle w:val="a5"/>
      </w:pPr>
      <w:r w:rsidRPr="00383336">
        <w:t>Система гидроемкостей имеет общую часть с первым и третьим каналами системы САОЗ НД: участки трубопроводов с обратными клапанами 4</w:t>
      </w:r>
      <w:r w:rsidRPr="00383336">
        <w:rPr>
          <w:lang w:val="en-US"/>
        </w:rPr>
        <w:t>TH</w:t>
      </w:r>
      <w:r w:rsidRPr="00383336">
        <w:t>10(11,12,13)</w:t>
      </w:r>
      <w:r w:rsidRPr="00383336">
        <w:rPr>
          <w:lang w:val="en-US"/>
        </w:rPr>
        <w:t>S</w:t>
      </w:r>
      <w:r w:rsidRPr="00383336">
        <w:t>03 от задвижек 4</w:t>
      </w:r>
      <w:r w:rsidRPr="00383336">
        <w:rPr>
          <w:lang w:val="en-US"/>
        </w:rPr>
        <w:t>TH</w:t>
      </w:r>
      <w:r w:rsidRPr="00383336">
        <w:t>10(11,12,13)</w:t>
      </w:r>
      <w:r w:rsidRPr="00383336">
        <w:rPr>
          <w:lang w:val="en-US"/>
        </w:rPr>
        <w:t>S</w:t>
      </w:r>
      <w:r w:rsidRPr="00383336">
        <w:t>02 до патрубков реактора.</w:t>
      </w:r>
    </w:p>
    <w:p w:rsidR="00236E7B" w:rsidRPr="00383336" w:rsidRDefault="00236E7B" w:rsidP="00236E7B">
      <w:pPr>
        <w:pStyle w:val="4"/>
      </w:pPr>
      <w:bookmarkStart w:id="17" w:name="_Toc421676369"/>
      <w:bookmarkStart w:id="18" w:name="_Toc428697358"/>
      <w:bookmarkStart w:id="19" w:name="_Toc513552999"/>
      <w:bookmarkStart w:id="20" w:name="_Toc121657008"/>
      <w:bookmarkStart w:id="21" w:name="_Toc223932798"/>
      <w:r w:rsidRPr="00383336">
        <w:t>Основное оборудование системы</w:t>
      </w:r>
      <w:bookmarkEnd w:id="17"/>
      <w:bookmarkEnd w:id="18"/>
      <w:bookmarkEnd w:id="19"/>
      <w:bookmarkEnd w:id="20"/>
      <w:bookmarkEnd w:id="21"/>
    </w:p>
    <w:p w:rsidR="00236E7B" w:rsidRPr="00383336" w:rsidRDefault="00236E7B" w:rsidP="00236E7B">
      <w:pPr>
        <w:pStyle w:val="5"/>
      </w:pPr>
      <w:bookmarkStart w:id="22" w:name="_Ref347833427"/>
      <w:bookmarkStart w:id="23" w:name="_Toc121657009"/>
      <w:bookmarkStart w:id="24" w:name="_Toc223932799"/>
      <w:r w:rsidRPr="00383336">
        <w:t>Гидроемкость САОЗ</w:t>
      </w:r>
      <w:bookmarkEnd w:id="22"/>
      <w:bookmarkEnd w:id="23"/>
      <w:bookmarkEnd w:id="24"/>
    </w:p>
    <w:p w:rsidR="00236E7B" w:rsidRPr="00383336" w:rsidRDefault="00236E7B" w:rsidP="00236E7B">
      <w:pPr>
        <w:pStyle w:val="a5"/>
      </w:pPr>
      <w:r w:rsidRPr="00383336">
        <w:t>Гидроемкость САОЗ представляет собой вертикальный толстостенный цилиндрический сосуд с эллипти</w:t>
      </w:r>
      <w:r w:rsidRPr="00383336">
        <w:softHyphen/>
        <w:t xml:space="preserve">ческими днищами, установленный на цилиндрической опоре и заполненный </w:t>
      </w:r>
      <w:proofErr w:type="spellStart"/>
      <w:r w:rsidRPr="00383336">
        <w:t>борированной</w:t>
      </w:r>
      <w:proofErr w:type="spellEnd"/>
      <w:r w:rsidRPr="00383336">
        <w:t xml:space="preserve"> водой под давлением 60 кгс/см</w:t>
      </w:r>
      <w:proofErr w:type="gramStart"/>
      <w:r w:rsidRPr="00383336">
        <w:rPr>
          <w:vertAlign w:val="superscript"/>
        </w:rPr>
        <w:t>2</w:t>
      </w:r>
      <w:proofErr w:type="gramEnd"/>
      <w:r w:rsidRPr="00383336">
        <w:t>, создаваемым азотной подушкой. Внутри ГЕ по высоте приварены кольцевые скобы, предназначенные для установки и крепления площадок для осмотра и ремонта внутренней поверхности сосуда, а также для монтажа внутренних устройств гидроемкости</w:t>
      </w:r>
      <w:proofErr w:type="gramStart"/>
      <w:r w:rsidRPr="00383336">
        <w:t xml:space="preserve"> .</w:t>
      </w:r>
      <w:proofErr w:type="gramEnd"/>
      <w:r w:rsidRPr="00383336">
        <w:t xml:space="preserve"> Эскиз гидроемкости САОЗ приведен на </w:t>
      </w:r>
      <w:r w:rsidRPr="00383336">
        <w:fldChar w:fldCharType="begin"/>
      </w:r>
      <w:r w:rsidRPr="00383336">
        <w:instrText xml:space="preserve"> REF _Ref422211937 \* MERGEFORMAT </w:instrText>
      </w:r>
      <w:r w:rsidRPr="00383336">
        <w:fldChar w:fldCharType="separate"/>
      </w:r>
      <w:r w:rsidRPr="00383336">
        <w:t xml:space="preserve">Рис. </w:t>
      </w:r>
      <w:r w:rsidRPr="00383336">
        <w:rPr>
          <w:noProof/>
        </w:rPr>
        <w:t>2.1-5</w:t>
      </w:r>
      <w:r w:rsidRPr="00383336">
        <w:fldChar w:fldCharType="end"/>
      </w:r>
      <w:r w:rsidRPr="00383336">
        <w:rPr>
          <w:lang w:val="en-US"/>
        </w:rPr>
        <w:t>[1]</w:t>
      </w:r>
      <w:r w:rsidRPr="00383336">
        <w:t xml:space="preserve"> .</w:t>
      </w:r>
    </w:p>
    <w:p w:rsidR="00236E7B" w:rsidRPr="00383336" w:rsidRDefault="00236E7B" w:rsidP="00236E7B">
      <w:pPr>
        <w:pStyle w:val="a5"/>
        <w:keepNext/>
        <w:jc w:val="center"/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2483485" cy="4264025"/>
            <wp:effectExtent l="0" t="0" r="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3485" cy="426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6E7B" w:rsidRPr="00383336" w:rsidRDefault="00236E7B" w:rsidP="00236E7B">
      <w:pPr>
        <w:pStyle w:val="a3"/>
      </w:pPr>
      <w:bookmarkStart w:id="25" w:name="_Ref422211937"/>
      <w:bookmarkStart w:id="26" w:name="_Toc121657436"/>
      <w:r w:rsidRPr="00383336">
        <w:t xml:space="preserve">Рис. </w:t>
      </w:r>
      <w:r w:rsidRPr="00383336">
        <w:fldChar w:fldCharType="begin"/>
      </w:r>
      <w:r w:rsidRPr="00383336">
        <w:instrText xml:space="preserve"> STYLEREF 2 \n </w:instrText>
      </w:r>
      <w:r w:rsidRPr="00383336">
        <w:fldChar w:fldCharType="separate"/>
      </w:r>
      <w:r w:rsidRPr="00383336">
        <w:rPr>
          <w:noProof/>
        </w:rPr>
        <w:t>2.1</w:t>
      </w:r>
      <w:r w:rsidRPr="00383336">
        <w:fldChar w:fldCharType="end"/>
      </w:r>
      <w:r w:rsidRPr="00383336">
        <w:t>-</w:t>
      </w:r>
      <w:bookmarkEnd w:id="25"/>
      <w:r w:rsidRPr="00383336">
        <w:t>6 Эскиз гидроемкости САОЗ</w:t>
      </w:r>
      <w:bookmarkEnd w:id="26"/>
    </w:p>
    <w:p w:rsidR="00236E7B" w:rsidRPr="00383336" w:rsidRDefault="00236E7B" w:rsidP="00236E7B">
      <w:pPr>
        <w:pStyle w:val="a5"/>
      </w:pPr>
      <w:r w:rsidRPr="00383336">
        <w:t>Патрубки подвода борного раствора в местах приварки к корпусу реактора имеют защитные тепловые рубашки, предохраняющие сварные стыки от резкой смены температур при срабатывании САОЗ.</w:t>
      </w:r>
    </w:p>
    <w:p w:rsidR="00236E7B" w:rsidRPr="00383336" w:rsidRDefault="00236E7B" w:rsidP="00236E7B">
      <w:pPr>
        <w:pStyle w:val="a5"/>
      </w:pPr>
      <w:r w:rsidRPr="00383336">
        <w:t>В гидроемкости предусмотрены места установки датчиков контроля уровня, давления и температуры воды, а также штуцер для подачи азота и патрубок Ду250 в нижнем днище корпуса для присоединения к трубопроводу первого контура.</w:t>
      </w:r>
    </w:p>
    <w:p w:rsidR="00236E7B" w:rsidRPr="00383336" w:rsidRDefault="00236E7B" w:rsidP="00236E7B">
      <w:pPr>
        <w:pStyle w:val="a5"/>
      </w:pPr>
      <w:r w:rsidRPr="00383336">
        <w:t>Внутри гидроемкости для предотвращения попадания азота в реактор при снижении уровня в ней раствора борной кислоты предусмотрено специальное запирающее устройство пассивного типа</w:t>
      </w:r>
      <w:proofErr w:type="gramStart"/>
      <w:r w:rsidRPr="00383336">
        <w:t xml:space="preserve"> .</w:t>
      </w:r>
      <w:proofErr w:type="gramEnd"/>
      <w:r w:rsidRPr="00383336">
        <w:t xml:space="preserve"> Запирающее устройство представляет собой поплавковый клапан, который состоит из запорного элемента – пустотелого стального шара, расположенного в направляющей трубе. Внутренняя часть сбросного патрубка имеет конусное седло, на которое садится запирающий шар после истечения воды. При нормальной работе запирающий элемент находится ниже уровня воды в гидроемкости. Шаровой поплавковый клапан перекрывает сливные отверстия при снижении уровня в ГЕ до </w:t>
      </w:r>
      <w:smartTag w:uri="urn:schemas-microsoft-com:office:smarttags" w:element="metricconverter">
        <w:smartTagPr>
          <w:attr w:name="ProductID" w:val="0.5 м"/>
        </w:smartTagPr>
        <w:r w:rsidRPr="00383336">
          <w:t>0.5 м</w:t>
        </w:r>
      </w:smartTag>
      <w:r w:rsidRPr="00383336">
        <w:t xml:space="preserve"> от днища</w:t>
      </w:r>
      <w:proofErr w:type="gramStart"/>
      <w:r w:rsidRPr="00383336">
        <w:t xml:space="preserve"> .</w:t>
      </w:r>
      <w:proofErr w:type="gramEnd"/>
    </w:p>
    <w:p w:rsidR="00236E7B" w:rsidRPr="00383336" w:rsidRDefault="00236E7B" w:rsidP="00236E7B">
      <w:pPr>
        <w:pStyle w:val="a5"/>
      </w:pPr>
      <w:r w:rsidRPr="00383336">
        <w:t>Поддержание температуры воды в каждой гидроемкости в диапазоне 55</w:t>
      </w:r>
      <w:r w:rsidRPr="00383336">
        <w:sym w:font="Symbol" w:char="F0B8"/>
      </w:r>
      <w:r w:rsidRPr="00383336">
        <w:t>60</w:t>
      </w:r>
      <w:proofErr w:type="gramStart"/>
      <w:r w:rsidRPr="00383336">
        <w:t xml:space="preserve"> </w:t>
      </w:r>
      <w:r w:rsidRPr="00383336">
        <w:sym w:font="Symbol" w:char="F0B0"/>
      </w:r>
      <w:r w:rsidRPr="00383336">
        <w:t>С</w:t>
      </w:r>
      <w:proofErr w:type="gramEnd"/>
      <w:r w:rsidRPr="00383336">
        <w:t xml:space="preserve"> производится автоматически работой системы его подогрева.</w:t>
      </w:r>
    </w:p>
    <w:p w:rsidR="00236E7B" w:rsidRPr="00383336" w:rsidRDefault="00236E7B" w:rsidP="00236E7B">
      <w:pPr>
        <w:pStyle w:val="a5"/>
      </w:pPr>
      <w:r w:rsidRPr="00383336">
        <w:t>Основные технические характеристики гидроемкости САОЗ</w:t>
      </w:r>
      <w:proofErr w:type="gramStart"/>
      <w:r w:rsidRPr="00383336">
        <w:t xml:space="preserve"> :</w:t>
      </w:r>
      <w:proofErr w:type="gramEnd"/>
    </w:p>
    <w:p w:rsidR="00236E7B" w:rsidRPr="00383336" w:rsidRDefault="00236E7B" w:rsidP="00236E7B">
      <w:pPr>
        <w:pStyle w:val="LikeTable"/>
      </w:pPr>
      <w:r w:rsidRPr="00383336">
        <w:t>Давление рабочее, кгс/см</w:t>
      </w:r>
      <w:proofErr w:type="gramStart"/>
      <w:r w:rsidRPr="00383336">
        <w:rPr>
          <w:vertAlign w:val="superscript"/>
        </w:rPr>
        <w:t>2</w:t>
      </w:r>
      <w:proofErr w:type="gramEnd"/>
      <w:r w:rsidRPr="00383336">
        <w:t xml:space="preserve"> (МПа)</w:t>
      </w:r>
      <w:r w:rsidRPr="00383336">
        <w:tab/>
        <w:t>55-60 (5.4-5.9)</w:t>
      </w:r>
    </w:p>
    <w:p w:rsidR="00236E7B" w:rsidRPr="00383336" w:rsidRDefault="00236E7B" w:rsidP="00236E7B">
      <w:pPr>
        <w:pStyle w:val="LikeTable"/>
      </w:pPr>
      <w:r w:rsidRPr="00383336">
        <w:t>Уровень в ГЕ</w:t>
      </w:r>
      <w:proofErr w:type="gramStart"/>
      <w:r w:rsidRPr="00383336">
        <w:t xml:space="preserve">  ,</w:t>
      </w:r>
      <w:proofErr w:type="gramEnd"/>
      <w:r w:rsidRPr="00383336">
        <w:t xml:space="preserve"> мм</w:t>
      </w:r>
      <w:r w:rsidRPr="00383336">
        <w:tab/>
        <w:t>6100-6350</w:t>
      </w:r>
    </w:p>
    <w:p w:rsidR="00236E7B" w:rsidRPr="00383336" w:rsidRDefault="00236E7B" w:rsidP="00236E7B">
      <w:pPr>
        <w:pStyle w:val="LikeTable"/>
      </w:pPr>
      <w:r w:rsidRPr="00383336">
        <w:t xml:space="preserve">Температура рабочая, </w:t>
      </w:r>
      <w:r w:rsidRPr="00383336">
        <w:sym w:font="Symbol" w:char="F0B0"/>
      </w:r>
      <w:r w:rsidRPr="00383336">
        <w:t>С</w:t>
      </w:r>
      <w:r w:rsidRPr="00383336">
        <w:tab/>
        <w:t>60</w:t>
      </w:r>
    </w:p>
    <w:p w:rsidR="00236E7B" w:rsidRPr="00383336" w:rsidRDefault="00236E7B" w:rsidP="00236E7B">
      <w:pPr>
        <w:pStyle w:val="LikeTable"/>
      </w:pPr>
      <w:r w:rsidRPr="00383336">
        <w:t>Объемы, м</w:t>
      </w:r>
      <w:r w:rsidRPr="00383336">
        <w:rPr>
          <w:vertAlign w:val="superscript"/>
        </w:rPr>
        <w:t>3</w:t>
      </w:r>
      <w:r w:rsidRPr="00383336">
        <w:t>:</w:t>
      </w:r>
    </w:p>
    <w:p w:rsidR="00236E7B" w:rsidRPr="00383336" w:rsidRDefault="00236E7B" w:rsidP="00236E7B">
      <w:pPr>
        <w:pStyle w:val="LikeTable2"/>
      </w:pPr>
      <w:r w:rsidRPr="00383336">
        <w:t>полный</w:t>
      </w:r>
      <w:r w:rsidRPr="00383336">
        <w:tab/>
        <w:t>70</w:t>
      </w:r>
    </w:p>
    <w:p w:rsidR="00236E7B" w:rsidRPr="00383336" w:rsidRDefault="00236E7B" w:rsidP="00236E7B">
      <w:pPr>
        <w:pStyle w:val="LikeTable2"/>
      </w:pPr>
      <w:r w:rsidRPr="00383336">
        <w:t>рабочий объем воды</w:t>
      </w:r>
      <w:r w:rsidRPr="00383336">
        <w:tab/>
        <w:t>40 - 50</w:t>
      </w:r>
    </w:p>
    <w:p w:rsidR="00236E7B" w:rsidRPr="00383336" w:rsidRDefault="00236E7B" w:rsidP="00236E7B">
      <w:pPr>
        <w:pStyle w:val="LikeTable2"/>
      </w:pPr>
      <w:r w:rsidRPr="00383336">
        <w:t>рабочий объем азота</w:t>
      </w:r>
      <w:r w:rsidRPr="00383336">
        <w:tab/>
        <w:t>30 - 20</w:t>
      </w:r>
    </w:p>
    <w:p w:rsidR="00236E7B" w:rsidRPr="00383336" w:rsidRDefault="00236E7B" w:rsidP="00236E7B">
      <w:pPr>
        <w:pStyle w:val="LikeTable"/>
      </w:pPr>
      <w:r w:rsidRPr="00383336">
        <w:t xml:space="preserve">Концентрация борной кислоты, </w:t>
      </w:r>
      <w:proofErr w:type="gramStart"/>
      <w:r w:rsidRPr="00383336">
        <w:t>г</w:t>
      </w:r>
      <w:proofErr w:type="gramEnd"/>
      <w:r w:rsidRPr="00383336">
        <w:t>/кг</w:t>
      </w:r>
      <w:r w:rsidRPr="00383336">
        <w:tab/>
        <w:t>16</w:t>
      </w:r>
    </w:p>
    <w:p w:rsidR="00236E7B" w:rsidRPr="00383336" w:rsidRDefault="00236E7B" w:rsidP="00236E7B">
      <w:pPr>
        <w:pStyle w:val="LikeTable"/>
      </w:pPr>
      <w:r w:rsidRPr="00383336">
        <w:t xml:space="preserve">Высота корпуса, </w:t>
      </w:r>
      <w:proofErr w:type="gramStart"/>
      <w:r w:rsidRPr="00383336">
        <w:t>м</w:t>
      </w:r>
      <w:proofErr w:type="gramEnd"/>
      <w:r w:rsidRPr="00383336">
        <w:tab/>
        <w:t>11.720</w:t>
      </w:r>
    </w:p>
    <w:p w:rsidR="00236E7B" w:rsidRPr="00383336" w:rsidRDefault="00236E7B" w:rsidP="00236E7B">
      <w:pPr>
        <w:pStyle w:val="LikeTable"/>
      </w:pPr>
      <w:r w:rsidRPr="00383336">
        <w:t xml:space="preserve">Внутренний диаметр, </w:t>
      </w:r>
      <w:proofErr w:type="gramStart"/>
      <w:r w:rsidRPr="00383336">
        <w:t>мм</w:t>
      </w:r>
      <w:proofErr w:type="gramEnd"/>
      <w:r w:rsidRPr="00383336">
        <w:tab/>
        <w:t>2995</w:t>
      </w:r>
    </w:p>
    <w:p w:rsidR="00236E7B" w:rsidRPr="00383336" w:rsidRDefault="00236E7B" w:rsidP="00236E7B">
      <w:pPr>
        <w:pStyle w:val="LikeTable"/>
      </w:pPr>
      <w:r w:rsidRPr="00383336">
        <w:lastRenderedPageBreak/>
        <w:t xml:space="preserve">Толщины, </w:t>
      </w:r>
      <w:proofErr w:type="gramStart"/>
      <w:r w:rsidRPr="00383336">
        <w:t>мм</w:t>
      </w:r>
      <w:proofErr w:type="gramEnd"/>
      <w:r w:rsidRPr="00383336">
        <w:t>:</w:t>
      </w:r>
    </w:p>
    <w:p w:rsidR="00236E7B" w:rsidRPr="00383336" w:rsidRDefault="00236E7B" w:rsidP="00236E7B">
      <w:pPr>
        <w:pStyle w:val="LikeTable2"/>
      </w:pPr>
      <w:r w:rsidRPr="00383336">
        <w:t>корпуса</w:t>
      </w:r>
      <w:r w:rsidRPr="00383336">
        <w:tab/>
        <w:t>80</w:t>
      </w:r>
    </w:p>
    <w:p w:rsidR="00236E7B" w:rsidRPr="00383336" w:rsidRDefault="00236E7B" w:rsidP="00236E7B">
      <w:pPr>
        <w:pStyle w:val="LikeTable2"/>
      </w:pPr>
      <w:r w:rsidRPr="00383336">
        <w:t>днища</w:t>
      </w:r>
      <w:r w:rsidRPr="00383336">
        <w:tab/>
        <w:t>100</w:t>
      </w:r>
    </w:p>
    <w:p w:rsidR="00236E7B" w:rsidRPr="00383336" w:rsidRDefault="00236E7B" w:rsidP="00236E7B">
      <w:pPr>
        <w:pStyle w:val="LikeTable2"/>
      </w:pPr>
      <w:r w:rsidRPr="00383336">
        <w:t>плакирующего слоя</w:t>
      </w:r>
      <w:r w:rsidRPr="00383336">
        <w:tab/>
        <w:t>5 - 8</w:t>
      </w:r>
    </w:p>
    <w:p w:rsidR="00236E7B" w:rsidRPr="00383336" w:rsidRDefault="00236E7B" w:rsidP="00236E7B">
      <w:pPr>
        <w:pStyle w:val="LikeTable"/>
      </w:pPr>
      <w:r w:rsidRPr="00383336">
        <w:t>Материалы:</w:t>
      </w:r>
    </w:p>
    <w:p w:rsidR="00236E7B" w:rsidRPr="00383336" w:rsidRDefault="00236E7B" w:rsidP="00236E7B">
      <w:pPr>
        <w:pStyle w:val="LikeTable2"/>
      </w:pPr>
      <w:r w:rsidRPr="00383336">
        <w:t>корпуса</w:t>
      </w:r>
      <w:r w:rsidRPr="00383336">
        <w:tab/>
        <w:t>22К</w:t>
      </w:r>
    </w:p>
    <w:p w:rsidR="00236E7B" w:rsidRPr="00383336" w:rsidRDefault="00236E7B" w:rsidP="00236E7B">
      <w:pPr>
        <w:pStyle w:val="LikeTable2"/>
      </w:pPr>
      <w:r w:rsidRPr="00383336">
        <w:t>плакирующего слоя</w:t>
      </w:r>
      <w:r w:rsidRPr="00383336">
        <w:tab/>
        <w:t>08Х19Н10Г2Б</w:t>
      </w:r>
    </w:p>
    <w:p w:rsidR="00236E7B" w:rsidRPr="00383336" w:rsidRDefault="00236E7B" w:rsidP="00236E7B">
      <w:pPr>
        <w:pStyle w:val="LikeTable"/>
      </w:pPr>
      <w:r w:rsidRPr="00383336">
        <w:t>Сухой вес, т</w:t>
      </w:r>
      <w:r w:rsidRPr="00383336">
        <w:tab/>
        <w:t>81</w:t>
      </w:r>
    </w:p>
    <w:p w:rsidR="00236E7B" w:rsidRPr="00383336" w:rsidRDefault="00236E7B" w:rsidP="00236E7B">
      <w:pPr>
        <w:pStyle w:val="LikeTable"/>
      </w:pPr>
      <w:r w:rsidRPr="00383336">
        <w:t>Предохранительные клапаны ГЕ [1]:</w:t>
      </w:r>
    </w:p>
    <w:p w:rsidR="00236E7B" w:rsidRPr="00383336" w:rsidRDefault="00236E7B" w:rsidP="00236E7B">
      <w:pPr>
        <w:pStyle w:val="LikeTable2"/>
      </w:pPr>
      <w:r w:rsidRPr="00383336">
        <w:t>Тип</w:t>
      </w:r>
      <w:r w:rsidRPr="00383336">
        <w:tab/>
        <w:t>SIH3115-H</w:t>
      </w:r>
    </w:p>
    <w:p w:rsidR="00236E7B" w:rsidRPr="00383336" w:rsidRDefault="00236E7B" w:rsidP="00236E7B">
      <w:pPr>
        <w:pStyle w:val="LikeTable2"/>
      </w:pPr>
      <w:r w:rsidRPr="00383336">
        <w:t xml:space="preserve">Условный проход </w:t>
      </w:r>
      <w:proofErr w:type="spellStart"/>
      <w:r w:rsidRPr="00383336">
        <w:t>Ду</w:t>
      </w:r>
      <w:proofErr w:type="spellEnd"/>
      <w:r w:rsidRPr="00383336">
        <w:t>, мм</w:t>
      </w:r>
      <w:r w:rsidRPr="00383336">
        <w:tab/>
        <w:t>32</w:t>
      </w:r>
    </w:p>
    <w:p w:rsidR="00236E7B" w:rsidRPr="00383336" w:rsidRDefault="00236E7B" w:rsidP="00236E7B">
      <w:pPr>
        <w:pStyle w:val="LikeTable2"/>
      </w:pPr>
      <w:r w:rsidRPr="00383336">
        <w:t>Расход, т/ч</w:t>
      </w:r>
      <w:r w:rsidRPr="00383336">
        <w:tab/>
        <w:t>6</w:t>
      </w:r>
    </w:p>
    <w:p w:rsidR="00236E7B" w:rsidRPr="00383336" w:rsidRDefault="00236E7B" w:rsidP="00236E7B">
      <w:pPr>
        <w:pStyle w:val="LikeTable2"/>
      </w:pPr>
      <w:r w:rsidRPr="00383336">
        <w:t>Давление открытия от  пружины, кгс/см</w:t>
      </w:r>
      <w:proofErr w:type="gramStart"/>
      <w:r w:rsidRPr="00383336">
        <w:rPr>
          <w:vertAlign w:val="superscript"/>
        </w:rPr>
        <w:t>2</w:t>
      </w:r>
      <w:proofErr w:type="gramEnd"/>
      <w:r w:rsidRPr="00383336">
        <w:tab/>
        <w:t>66</w:t>
      </w:r>
    </w:p>
    <w:p w:rsidR="00236E7B" w:rsidRPr="00383336" w:rsidRDefault="00236E7B" w:rsidP="00236E7B">
      <w:pPr>
        <w:pStyle w:val="LikeTable2"/>
      </w:pPr>
      <w:r w:rsidRPr="00383336">
        <w:t>Давление открытия  электромагнита, кгс/см</w:t>
      </w:r>
      <w:proofErr w:type="gramStart"/>
      <w:r w:rsidRPr="00383336">
        <w:rPr>
          <w:vertAlign w:val="superscript"/>
        </w:rPr>
        <w:t>2</w:t>
      </w:r>
      <w:proofErr w:type="gramEnd"/>
      <w:r w:rsidRPr="00383336">
        <w:tab/>
        <w:t>63</w:t>
      </w:r>
    </w:p>
    <w:p w:rsidR="00236E7B" w:rsidRPr="00383336" w:rsidRDefault="00236E7B" w:rsidP="00236E7B">
      <w:pPr>
        <w:pStyle w:val="LikeTable2"/>
      </w:pPr>
      <w:r w:rsidRPr="00383336">
        <w:t>Давление закрытия  пружины, кгс/см</w:t>
      </w:r>
      <w:proofErr w:type="gramStart"/>
      <w:r w:rsidRPr="00383336">
        <w:rPr>
          <w:vertAlign w:val="superscript"/>
        </w:rPr>
        <w:t>2</w:t>
      </w:r>
      <w:proofErr w:type="gramEnd"/>
      <w:r w:rsidRPr="00383336">
        <w:tab/>
        <w:t>54</w:t>
      </w:r>
    </w:p>
    <w:p w:rsidR="00236E7B" w:rsidRPr="00383336" w:rsidRDefault="00236E7B" w:rsidP="00236E7B">
      <w:pPr>
        <w:pStyle w:val="LikeTable2"/>
      </w:pPr>
      <w:r w:rsidRPr="00383336">
        <w:t>Давление закрытия от  электромагнита, кгс/см</w:t>
      </w:r>
      <w:proofErr w:type="gramStart"/>
      <w:r w:rsidRPr="00383336">
        <w:rPr>
          <w:vertAlign w:val="superscript"/>
        </w:rPr>
        <w:t>2</w:t>
      </w:r>
      <w:proofErr w:type="gramEnd"/>
      <w:r w:rsidRPr="00383336">
        <w:tab/>
        <w:t>60.5</w:t>
      </w:r>
    </w:p>
    <w:p w:rsidR="00236E7B" w:rsidRPr="00383336" w:rsidRDefault="00236E7B" w:rsidP="00236E7B">
      <w:pPr>
        <w:pStyle w:val="a5"/>
      </w:pPr>
      <w:r w:rsidRPr="00383336">
        <w:t>Система обогрева ГЕ автоматически поддерживает температуру борного раствора в ГЕ в интервале 55 – 60</w:t>
      </w:r>
      <w:proofErr w:type="gramStart"/>
      <w:r w:rsidRPr="00383336">
        <w:t xml:space="preserve"> </w:t>
      </w:r>
      <w:r w:rsidRPr="00383336">
        <w:sym w:font="Symbol" w:char="F0B0"/>
      </w:r>
      <w:r w:rsidRPr="00383336">
        <w:t>С</w:t>
      </w:r>
      <w:proofErr w:type="gramEnd"/>
      <w:r w:rsidRPr="00383336">
        <w:t xml:space="preserve"> и выполнена на ГЕ 4TH10,12B01 из U-образных трубчатых электронагревателей, а на ГЕ 4TH11,13B01 – из ленточных электронагревателей. При этом вся нагреваемая часть корпуса ГЕ покрыта специальной тканью, поверх нее установлены металлические бандажи и нагреватели прикреплены к бандажам. Поверх нагревателей установлена теплоизоляция в металлическом кожухе.</w:t>
      </w:r>
    </w:p>
    <w:p w:rsidR="00236E7B" w:rsidRPr="00383336" w:rsidRDefault="00236E7B" w:rsidP="00236E7B">
      <w:pPr>
        <w:pStyle w:val="a5"/>
      </w:pPr>
      <w:r w:rsidRPr="00383336">
        <w:t>Все электронагреватели ГЕ разделены на две группы – рабочая и пусковая. Обе группы управляются от КУ на БЩУ. Кроме того, рабочая группа электронагревателей является исполнительным органом позиционного регулятора температуры корпуса ГЕ снаружи с выводом показаний на БЩУ. Датчиками этого регулятора являются три термометра сопротивления на наружной поверхности корпуса ГЕ. Включение группы производится при температуре 57</w:t>
      </w:r>
      <w:proofErr w:type="gramStart"/>
      <w:r w:rsidRPr="00383336">
        <w:t xml:space="preserve"> </w:t>
      </w:r>
      <w:r w:rsidRPr="00383336">
        <w:sym w:font="Symbol" w:char="F0B0"/>
      </w:r>
      <w:r w:rsidRPr="00383336">
        <w:t>С</w:t>
      </w:r>
      <w:proofErr w:type="gramEnd"/>
      <w:r w:rsidRPr="00383336">
        <w:t xml:space="preserve">, отключение - при 67 </w:t>
      </w:r>
      <w:r w:rsidRPr="00383336">
        <w:sym w:font="Symbol" w:char="F0B0"/>
      </w:r>
      <w:r w:rsidRPr="00383336">
        <w:t>С.</w:t>
      </w:r>
    </w:p>
    <w:p w:rsidR="00236E7B" w:rsidRPr="00383336" w:rsidRDefault="00236E7B" w:rsidP="00236E7B">
      <w:pPr>
        <w:pStyle w:val="a5"/>
      </w:pPr>
      <w:r w:rsidRPr="00383336">
        <w:t xml:space="preserve">Контроль температуры раствора в ГЕ осуществляется посредством трех термометров сопротивления с выводом показаний в ИВС блока. </w:t>
      </w:r>
    </w:p>
    <w:p w:rsidR="00091BAA" w:rsidRDefault="00091BAA"/>
    <w:sectPr w:rsidR="00091B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ntiqua">
    <w:altName w:val="Times New Roman"/>
    <w:charset w:val="00"/>
    <w:family w:val="auto"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60D22BFF"/>
    <w:multiLevelType w:val="multilevel"/>
    <w:tmpl w:val="35CE7A10"/>
    <w:lvl w:ilvl="0">
      <w:start w:val="1"/>
      <w:numFmt w:val="decimal"/>
      <w:pStyle w:val="1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  <w:b/>
        <w:i w:val="0"/>
        <w:sz w:val="20"/>
        <w:szCs w:val="20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  <w:sz w:val="16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5683"/>
    <w:rsid w:val="00075683"/>
    <w:rsid w:val="00091BAA"/>
    <w:rsid w:val="00236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List Bulle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6E7B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aliases w:val="1"/>
    <w:basedOn w:val="a"/>
    <w:next w:val="a"/>
    <w:link w:val="10"/>
    <w:qFormat/>
    <w:rsid w:val="00236E7B"/>
    <w:pPr>
      <w:keepNext/>
      <w:pageBreakBefore/>
      <w:widowControl w:val="0"/>
      <w:numPr>
        <w:numId w:val="2"/>
      </w:numPr>
      <w:spacing w:before="360" w:after="360"/>
      <w:jc w:val="left"/>
      <w:outlineLvl w:val="0"/>
    </w:pPr>
    <w:rPr>
      <w:b/>
      <w:kern w:val="24"/>
      <w:sz w:val="28"/>
    </w:rPr>
  </w:style>
  <w:style w:type="paragraph" w:styleId="2">
    <w:name w:val="heading 2"/>
    <w:aliases w:val="2"/>
    <w:basedOn w:val="a"/>
    <w:next w:val="a"/>
    <w:link w:val="20"/>
    <w:qFormat/>
    <w:rsid w:val="00236E7B"/>
    <w:pPr>
      <w:keepNext/>
      <w:pageBreakBefore/>
      <w:widowControl w:val="0"/>
      <w:numPr>
        <w:ilvl w:val="1"/>
        <w:numId w:val="2"/>
      </w:numPr>
      <w:spacing w:before="480" w:after="480"/>
      <w:jc w:val="left"/>
      <w:outlineLvl w:val="1"/>
    </w:pPr>
    <w:rPr>
      <w:b/>
      <w:sz w:val="24"/>
    </w:rPr>
  </w:style>
  <w:style w:type="paragraph" w:styleId="3">
    <w:name w:val="heading 3"/>
    <w:aliases w:val="3"/>
    <w:basedOn w:val="a"/>
    <w:next w:val="a"/>
    <w:link w:val="30"/>
    <w:qFormat/>
    <w:rsid w:val="00236E7B"/>
    <w:pPr>
      <w:keepNext/>
      <w:numPr>
        <w:ilvl w:val="2"/>
        <w:numId w:val="2"/>
      </w:numPr>
      <w:tabs>
        <w:tab w:val="num" w:pos="862"/>
      </w:tabs>
      <w:spacing w:before="480" w:after="360"/>
      <w:ind w:left="862" w:hanging="862"/>
      <w:jc w:val="left"/>
      <w:outlineLvl w:val="2"/>
    </w:pPr>
    <w:rPr>
      <w:b/>
      <w:sz w:val="22"/>
      <w:szCs w:val="22"/>
    </w:rPr>
  </w:style>
  <w:style w:type="paragraph" w:styleId="4">
    <w:name w:val="heading 4"/>
    <w:aliases w:val="4"/>
    <w:basedOn w:val="a"/>
    <w:next w:val="a"/>
    <w:link w:val="40"/>
    <w:qFormat/>
    <w:rsid w:val="00236E7B"/>
    <w:pPr>
      <w:keepNext/>
      <w:numPr>
        <w:ilvl w:val="3"/>
        <w:numId w:val="2"/>
      </w:numPr>
      <w:spacing w:before="480" w:after="360"/>
      <w:jc w:val="left"/>
      <w:outlineLvl w:val="3"/>
    </w:pPr>
    <w:rPr>
      <w:b/>
      <w:sz w:val="22"/>
    </w:rPr>
  </w:style>
  <w:style w:type="paragraph" w:styleId="5">
    <w:name w:val="heading 5"/>
    <w:aliases w:val="5"/>
    <w:basedOn w:val="a"/>
    <w:next w:val="a"/>
    <w:link w:val="50"/>
    <w:qFormat/>
    <w:rsid w:val="00236E7B"/>
    <w:pPr>
      <w:keepNext/>
      <w:numPr>
        <w:ilvl w:val="4"/>
        <w:numId w:val="2"/>
      </w:numPr>
      <w:spacing w:before="300" w:after="180"/>
      <w:outlineLvl w:val="4"/>
    </w:pPr>
    <w:rPr>
      <w:b/>
    </w:rPr>
  </w:style>
  <w:style w:type="paragraph" w:styleId="6">
    <w:name w:val="heading 6"/>
    <w:basedOn w:val="a"/>
    <w:next w:val="a"/>
    <w:link w:val="60"/>
    <w:qFormat/>
    <w:rsid w:val="00236E7B"/>
    <w:pPr>
      <w:keepNext/>
      <w:numPr>
        <w:ilvl w:val="5"/>
        <w:numId w:val="2"/>
      </w:numPr>
      <w:spacing w:before="240" w:after="120"/>
      <w:outlineLvl w:val="5"/>
    </w:pPr>
    <w:rPr>
      <w:u w:val="single"/>
    </w:rPr>
  </w:style>
  <w:style w:type="paragraph" w:styleId="7">
    <w:name w:val="heading 7"/>
    <w:basedOn w:val="a"/>
    <w:next w:val="a"/>
    <w:link w:val="70"/>
    <w:qFormat/>
    <w:rsid w:val="00236E7B"/>
    <w:pPr>
      <w:numPr>
        <w:ilvl w:val="6"/>
        <w:numId w:val="2"/>
      </w:numPr>
      <w:spacing w:before="180" w:after="120"/>
      <w:jc w:val="left"/>
      <w:outlineLvl w:val="6"/>
    </w:pPr>
    <w:rPr>
      <w:b/>
    </w:rPr>
  </w:style>
  <w:style w:type="paragraph" w:styleId="8">
    <w:name w:val="heading 8"/>
    <w:basedOn w:val="a"/>
    <w:link w:val="80"/>
    <w:qFormat/>
    <w:rsid w:val="00236E7B"/>
    <w:pPr>
      <w:numPr>
        <w:ilvl w:val="7"/>
        <w:numId w:val="2"/>
      </w:numPr>
      <w:spacing w:before="180" w:after="60"/>
      <w:outlineLvl w:val="7"/>
    </w:pPr>
  </w:style>
  <w:style w:type="paragraph" w:styleId="9">
    <w:name w:val="heading 9"/>
    <w:basedOn w:val="a"/>
    <w:link w:val="90"/>
    <w:qFormat/>
    <w:rsid w:val="00236E7B"/>
    <w:pPr>
      <w:numPr>
        <w:ilvl w:val="8"/>
        <w:numId w:val="2"/>
      </w:numPr>
      <w:spacing w:before="240" w:after="120"/>
      <w:outlineLvl w:val="8"/>
    </w:pPr>
    <w:rPr>
      <w:b/>
      <w:i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36E7B"/>
    <w:rPr>
      <w:rFonts w:ascii="Times New Roman" w:eastAsia="Times New Roman" w:hAnsi="Times New Roman" w:cs="Times New Roman"/>
      <w:b/>
      <w:kern w:val="24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236E7B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236E7B"/>
    <w:rPr>
      <w:rFonts w:ascii="Times New Roman" w:eastAsia="Times New Roman" w:hAnsi="Times New Roman" w:cs="Times New Roman"/>
      <w:b/>
      <w:lang w:eastAsia="ru-RU"/>
    </w:rPr>
  </w:style>
  <w:style w:type="character" w:customStyle="1" w:styleId="40">
    <w:name w:val="Заголовок 4 Знак"/>
    <w:basedOn w:val="a0"/>
    <w:link w:val="4"/>
    <w:rsid w:val="00236E7B"/>
    <w:rPr>
      <w:rFonts w:ascii="Times New Roman" w:eastAsia="Times New Roman" w:hAnsi="Times New Roman" w:cs="Times New Roman"/>
      <w:b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236E7B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236E7B"/>
    <w:rPr>
      <w:rFonts w:ascii="Times New Roman" w:eastAsia="Times New Roman" w:hAnsi="Times New Roman" w:cs="Times New Roman"/>
      <w:sz w:val="20"/>
      <w:szCs w:val="20"/>
      <w:u w:val="single"/>
      <w:lang w:eastAsia="ru-RU"/>
    </w:rPr>
  </w:style>
  <w:style w:type="character" w:customStyle="1" w:styleId="70">
    <w:name w:val="Заголовок 7 Знак"/>
    <w:basedOn w:val="a0"/>
    <w:link w:val="7"/>
    <w:rsid w:val="00236E7B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236E7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236E7B"/>
    <w:rPr>
      <w:rFonts w:ascii="Times New Roman" w:eastAsia="Times New Roman" w:hAnsi="Times New Roman" w:cs="Times New Roman"/>
      <w:b/>
      <w:i/>
      <w:sz w:val="20"/>
      <w:szCs w:val="20"/>
      <w:lang w:eastAsia="ru-RU"/>
    </w:rPr>
  </w:style>
  <w:style w:type="paragraph" w:styleId="a3">
    <w:name w:val="caption"/>
    <w:basedOn w:val="a"/>
    <w:next w:val="a"/>
    <w:qFormat/>
    <w:rsid w:val="00236E7B"/>
    <w:pPr>
      <w:spacing w:before="240" w:after="240"/>
      <w:jc w:val="center"/>
    </w:pPr>
    <w:rPr>
      <w:i/>
    </w:rPr>
  </w:style>
  <w:style w:type="paragraph" w:customStyle="1" w:styleId="LikeTable">
    <w:name w:val="Like Table"/>
    <w:basedOn w:val="a"/>
    <w:rsid w:val="00236E7B"/>
    <w:pPr>
      <w:tabs>
        <w:tab w:val="left" w:leader="dot" w:pos="5954"/>
        <w:tab w:val="left" w:leader="dot" w:pos="7938"/>
      </w:tabs>
      <w:spacing w:before="60" w:after="40"/>
      <w:ind w:left="357" w:right="3969"/>
    </w:pPr>
  </w:style>
  <w:style w:type="paragraph" w:customStyle="1" w:styleId="LikeTable2">
    <w:name w:val="Like Table 2"/>
    <w:basedOn w:val="LikeTable"/>
    <w:rsid w:val="00236E7B"/>
    <w:pPr>
      <w:ind w:left="720"/>
    </w:pPr>
  </w:style>
  <w:style w:type="paragraph" w:styleId="a4">
    <w:name w:val="List Bullet"/>
    <w:basedOn w:val="a"/>
    <w:rsid w:val="00236E7B"/>
    <w:pPr>
      <w:spacing w:before="40" w:after="60"/>
      <w:ind w:left="357" w:hanging="357"/>
    </w:pPr>
    <w:rPr>
      <w:rFonts w:ascii="Antiqua" w:hAnsi="Antiqua"/>
    </w:rPr>
  </w:style>
  <w:style w:type="paragraph" w:styleId="a5">
    <w:name w:val="Body Text"/>
    <w:basedOn w:val="a"/>
    <w:link w:val="a6"/>
    <w:rsid w:val="00236E7B"/>
    <w:pPr>
      <w:spacing w:before="120" w:after="60"/>
    </w:pPr>
  </w:style>
  <w:style w:type="character" w:customStyle="1" w:styleId="a6">
    <w:name w:val="Основной текст Знак"/>
    <w:basedOn w:val="a0"/>
    <w:link w:val="a5"/>
    <w:rsid w:val="00236E7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236E7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36E7B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List Bulle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6E7B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aliases w:val="1"/>
    <w:basedOn w:val="a"/>
    <w:next w:val="a"/>
    <w:link w:val="10"/>
    <w:qFormat/>
    <w:rsid w:val="00236E7B"/>
    <w:pPr>
      <w:keepNext/>
      <w:pageBreakBefore/>
      <w:widowControl w:val="0"/>
      <w:numPr>
        <w:numId w:val="2"/>
      </w:numPr>
      <w:spacing w:before="360" w:after="360"/>
      <w:jc w:val="left"/>
      <w:outlineLvl w:val="0"/>
    </w:pPr>
    <w:rPr>
      <w:b/>
      <w:kern w:val="24"/>
      <w:sz w:val="28"/>
    </w:rPr>
  </w:style>
  <w:style w:type="paragraph" w:styleId="2">
    <w:name w:val="heading 2"/>
    <w:aliases w:val="2"/>
    <w:basedOn w:val="a"/>
    <w:next w:val="a"/>
    <w:link w:val="20"/>
    <w:qFormat/>
    <w:rsid w:val="00236E7B"/>
    <w:pPr>
      <w:keepNext/>
      <w:pageBreakBefore/>
      <w:widowControl w:val="0"/>
      <w:numPr>
        <w:ilvl w:val="1"/>
        <w:numId w:val="2"/>
      </w:numPr>
      <w:spacing w:before="480" w:after="480"/>
      <w:jc w:val="left"/>
      <w:outlineLvl w:val="1"/>
    </w:pPr>
    <w:rPr>
      <w:b/>
      <w:sz w:val="24"/>
    </w:rPr>
  </w:style>
  <w:style w:type="paragraph" w:styleId="3">
    <w:name w:val="heading 3"/>
    <w:aliases w:val="3"/>
    <w:basedOn w:val="a"/>
    <w:next w:val="a"/>
    <w:link w:val="30"/>
    <w:qFormat/>
    <w:rsid w:val="00236E7B"/>
    <w:pPr>
      <w:keepNext/>
      <w:numPr>
        <w:ilvl w:val="2"/>
        <w:numId w:val="2"/>
      </w:numPr>
      <w:tabs>
        <w:tab w:val="num" w:pos="862"/>
      </w:tabs>
      <w:spacing w:before="480" w:after="360"/>
      <w:ind w:left="862" w:hanging="862"/>
      <w:jc w:val="left"/>
      <w:outlineLvl w:val="2"/>
    </w:pPr>
    <w:rPr>
      <w:b/>
      <w:sz w:val="22"/>
      <w:szCs w:val="22"/>
    </w:rPr>
  </w:style>
  <w:style w:type="paragraph" w:styleId="4">
    <w:name w:val="heading 4"/>
    <w:aliases w:val="4"/>
    <w:basedOn w:val="a"/>
    <w:next w:val="a"/>
    <w:link w:val="40"/>
    <w:qFormat/>
    <w:rsid w:val="00236E7B"/>
    <w:pPr>
      <w:keepNext/>
      <w:numPr>
        <w:ilvl w:val="3"/>
        <w:numId w:val="2"/>
      </w:numPr>
      <w:spacing w:before="480" w:after="360"/>
      <w:jc w:val="left"/>
      <w:outlineLvl w:val="3"/>
    </w:pPr>
    <w:rPr>
      <w:b/>
      <w:sz w:val="22"/>
    </w:rPr>
  </w:style>
  <w:style w:type="paragraph" w:styleId="5">
    <w:name w:val="heading 5"/>
    <w:aliases w:val="5"/>
    <w:basedOn w:val="a"/>
    <w:next w:val="a"/>
    <w:link w:val="50"/>
    <w:qFormat/>
    <w:rsid w:val="00236E7B"/>
    <w:pPr>
      <w:keepNext/>
      <w:numPr>
        <w:ilvl w:val="4"/>
        <w:numId w:val="2"/>
      </w:numPr>
      <w:spacing w:before="300" w:after="180"/>
      <w:outlineLvl w:val="4"/>
    </w:pPr>
    <w:rPr>
      <w:b/>
    </w:rPr>
  </w:style>
  <w:style w:type="paragraph" w:styleId="6">
    <w:name w:val="heading 6"/>
    <w:basedOn w:val="a"/>
    <w:next w:val="a"/>
    <w:link w:val="60"/>
    <w:qFormat/>
    <w:rsid w:val="00236E7B"/>
    <w:pPr>
      <w:keepNext/>
      <w:numPr>
        <w:ilvl w:val="5"/>
        <w:numId w:val="2"/>
      </w:numPr>
      <w:spacing w:before="240" w:after="120"/>
      <w:outlineLvl w:val="5"/>
    </w:pPr>
    <w:rPr>
      <w:u w:val="single"/>
    </w:rPr>
  </w:style>
  <w:style w:type="paragraph" w:styleId="7">
    <w:name w:val="heading 7"/>
    <w:basedOn w:val="a"/>
    <w:next w:val="a"/>
    <w:link w:val="70"/>
    <w:qFormat/>
    <w:rsid w:val="00236E7B"/>
    <w:pPr>
      <w:numPr>
        <w:ilvl w:val="6"/>
        <w:numId w:val="2"/>
      </w:numPr>
      <w:spacing w:before="180" w:after="120"/>
      <w:jc w:val="left"/>
      <w:outlineLvl w:val="6"/>
    </w:pPr>
    <w:rPr>
      <w:b/>
    </w:rPr>
  </w:style>
  <w:style w:type="paragraph" w:styleId="8">
    <w:name w:val="heading 8"/>
    <w:basedOn w:val="a"/>
    <w:link w:val="80"/>
    <w:qFormat/>
    <w:rsid w:val="00236E7B"/>
    <w:pPr>
      <w:numPr>
        <w:ilvl w:val="7"/>
        <w:numId w:val="2"/>
      </w:numPr>
      <w:spacing w:before="180" w:after="60"/>
      <w:outlineLvl w:val="7"/>
    </w:pPr>
  </w:style>
  <w:style w:type="paragraph" w:styleId="9">
    <w:name w:val="heading 9"/>
    <w:basedOn w:val="a"/>
    <w:link w:val="90"/>
    <w:qFormat/>
    <w:rsid w:val="00236E7B"/>
    <w:pPr>
      <w:numPr>
        <w:ilvl w:val="8"/>
        <w:numId w:val="2"/>
      </w:numPr>
      <w:spacing w:before="240" w:after="120"/>
      <w:outlineLvl w:val="8"/>
    </w:pPr>
    <w:rPr>
      <w:b/>
      <w:i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36E7B"/>
    <w:rPr>
      <w:rFonts w:ascii="Times New Roman" w:eastAsia="Times New Roman" w:hAnsi="Times New Roman" w:cs="Times New Roman"/>
      <w:b/>
      <w:kern w:val="24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236E7B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236E7B"/>
    <w:rPr>
      <w:rFonts w:ascii="Times New Roman" w:eastAsia="Times New Roman" w:hAnsi="Times New Roman" w:cs="Times New Roman"/>
      <w:b/>
      <w:lang w:eastAsia="ru-RU"/>
    </w:rPr>
  </w:style>
  <w:style w:type="character" w:customStyle="1" w:styleId="40">
    <w:name w:val="Заголовок 4 Знак"/>
    <w:basedOn w:val="a0"/>
    <w:link w:val="4"/>
    <w:rsid w:val="00236E7B"/>
    <w:rPr>
      <w:rFonts w:ascii="Times New Roman" w:eastAsia="Times New Roman" w:hAnsi="Times New Roman" w:cs="Times New Roman"/>
      <w:b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236E7B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236E7B"/>
    <w:rPr>
      <w:rFonts w:ascii="Times New Roman" w:eastAsia="Times New Roman" w:hAnsi="Times New Roman" w:cs="Times New Roman"/>
      <w:sz w:val="20"/>
      <w:szCs w:val="20"/>
      <w:u w:val="single"/>
      <w:lang w:eastAsia="ru-RU"/>
    </w:rPr>
  </w:style>
  <w:style w:type="character" w:customStyle="1" w:styleId="70">
    <w:name w:val="Заголовок 7 Знак"/>
    <w:basedOn w:val="a0"/>
    <w:link w:val="7"/>
    <w:rsid w:val="00236E7B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236E7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236E7B"/>
    <w:rPr>
      <w:rFonts w:ascii="Times New Roman" w:eastAsia="Times New Roman" w:hAnsi="Times New Roman" w:cs="Times New Roman"/>
      <w:b/>
      <w:i/>
      <w:sz w:val="20"/>
      <w:szCs w:val="20"/>
      <w:lang w:eastAsia="ru-RU"/>
    </w:rPr>
  </w:style>
  <w:style w:type="paragraph" w:styleId="a3">
    <w:name w:val="caption"/>
    <w:basedOn w:val="a"/>
    <w:next w:val="a"/>
    <w:qFormat/>
    <w:rsid w:val="00236E7B"/>
    <w:pPr>
      <w:spacing w:before="240" w:after="240"/>
      <w:jc w:val="center"/>
    </w:pPr>
    <w:rPr>
      <w:i/>
    </w:rPr>
  </w:style>
  <w:style w:type="paragraph" w:customStyle="1" w:styleId="LikeTable">
    <w:name w:val="Like Table"/>
    <w:basedOn w:val="a"/>
    <w:rsid w:val="00236E7B"/>
    <w:pPr>
      <w:tabs>
        <w:tab w:val="left" w:leader="dot" w:pos="5954"/>
        <w:tab w:val="left" w:leader="dot" w:pos="7938"/>
      </w:tabs>
      <w:spacing w:before="60" w:after="40"/>
      <w:ind w:left="357" w:right="3969"/>
    </w:pPr>
  </w:style>
  <w:style w:type="paragraph" w:customStyle="1" w:styleId="LikeTable2">
    <w:name w:val="Like Table 2"/>
    <w:basedOn w:val="LikeTable"/>
    <w:rsid w:val="00236E7B"/>
    <w:pPr>
      <w:ind w:left="720"/>
    </w:pPr>
  </w:style>
  <w:style w:type="paragraph" w:styleId="a4">
    <w:name w:val="List Bullet"/>
    <w:basedOn w:val="a"/>
    <w:rsid w:val="00236E7B"/>
    <w:pPr>
      <w:spacing w:before="40" w:after="60"/>
      <w:ind w:left="357" w:hanging="357"/>
    </w:pPr>
    <w:rPr>
      <w:rFonts w:ascii="Antiqua" w:hAnsi="Antiqua"/>
    </w:rPr>
  </w:style>
  <w:style w:type="paragraph" w:styleId="a5">
    <w:name w:val="Body Text"/>
    <w:basedOn w:val="a"/>
    <w:link w:val="a6"/>
    <w:rsid w:val="00236E7B"/>
    <w:pPr>
      <w:spacing w:before="120" w:after="60"/>
    </w:pPr>
  </w:style>
  <w:style w:type="character" w:customStyle="1" w:styleId="a6">
    <w:name w:val="Основной текст Знак"/>
    <w:basedOn w:val="a0"/>
    <w:link w:val="a5"/>
    <w:rsid w:val="00236E7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236E7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36E7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869</Words>
  <Characters>4959</Characters>
  <Application>Microsoft Office Word</Application>
  <DocSecurity>0</DocSecurity>
  <Lines>41</Lines>
  <Paragraphs>11</Paragraphs>
  <ScaleCrop>false</ScaleCrop>
  <Company/>
  <LinksUpToDate>false</LinksUpToDate>
  <CharactersWithSpaces>5817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master</dc:creator>
  <cp:keywords/>
  <dc:description/>
  <cp:lastModifiedBy>master</cp:lastModifiedBy>
  <cp:revision>2</cp:revision>
  <dcterms:created xsi:type="dcterms:W3CDTF">2025-12-11T07:54:00Z</dcterms:created>
  <dcterms:modified xsi:type="dcterms:W3CDTF">2025-12-11T07:55:00Z</dcterms:modified>
</cp:coreProperties>
</file>